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B2" w:rsidRPr="00D460B2" w:rsidRDefault="00D460B2" w:rsidP="00013017">
      <w:pPr>
        <w:tabs>
          <w:tab w:val="left" w:pos="6835"/>
        </w:tabs>
        <w:spacing w:before="61"/>
        <w:ind w:left="1036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34E9A">
        <w:rPr>
          <w:b/>
          <w:sz w:val="24"/>
        </w:rPr>
        <w:t>AZ:</w:t>
      </w:r>
      <w:r w:rsidR="00DB289E">
        <w:rPr>
          <w:b/>
          <w:sz w:val="24"/>
        </w:rPr>
        <w:t xml:space="preserve"> </w:t>
      </w:r>
    </w:p>
    <w:p w:rsidR="00AC5315" w:rsidRDefault="00D460B2" w:rsidP="00013017">
      <w:pPr>
        <w:tabs>
          <w:tab w:val="left" w:pos="6835"/>
        </w:tabs>
        <w:ind w:left="1036"/>
        <w:jc w:val="both"/>
        <w:rPr>
          <w:sz w:val="24"/>
        </w:rPr>
      </w:pPr>
      <w:r>
        <w:rPr>
          <w:sz w:val="24"/>
        </w:rPr>
        <w:t>Kanzlei</w:t>
      </w:r>
      <w:r>
        <w:rPr>
          <w:spacing w:val="-1"/>
          <w:sz w:val="24"/>
        </w:rPr>
        <w:t xml:space="preserve"> </w:t>
      </w:r>
      <w:r>
        <w:rPr>
          <w:sz w:val="24"/>
        </w:rPr>
        <w:t>Disli</w:t>
      </w:r>
      <w:r w:rsidR="00AC5315">
        <w:rPr>
          <w:sz w:val="24"/>
        </w:rPr>
        <w:tab/>
      </w:r>
      <w:r w:rsidR="00AC5315">
        <w:rPr>
          <w:i/>
          <w:sz w:val="24"/>
        </w:rPr>
        <w:t>Zustellungen werden nur an</w:t>
      </w:r>
      <w:r w:rsidR="00AC5315">
        <w:rPr>
          <w:i/>
          <w:spacing w:val="-1"/>
          <w:sz w:val="24"/>
        </w:rPr>
        <w:t xml:space="preserve"> </w:t>
      </w:r>
      <w:r w:rsidR="00AC5315">
        <w:rPr>
          <w:i/>
          <w:sz w:val="24"/>
        </w:rPr>
        <w:t>den</w:t>
      </w:r>
    </w:p>
    <w:p w:rsidR="005D32B5" w:rsidRPr="00091E15" w:rsidRDefault="00AC5315" w:rsidP="00091E15">
      <w:pPr>
        <w:tabs>
          <w:tab w:val="left" w:pos="6835"/>
        </w:tabs>
        <w:ind w:left="1036"/>
        <w:jc w:val="both"/>
        <w:rPr>
          <w:sz w:val="24"/>
        </w:rPr>
      </w:pPr>
      <w:r>
        <w:rPr>
          <w:sz w:val="24"/>
        </w:rPr>
        <w:t xml:space="preserve">Rechtsanwalt </w:t>
      </w:r>
      <w:proofErr w:type="spellStart"/>
      <w:r>
        <w:rPr>
          <w:sz w:val="24"/>
        </w:rPr>
        <w:t>Necdal</w:t>
      </w:r>
      <w:proofErr w:type="spellEnd"/>
      <w:r>
        <w:rPr>
          <w:sz w:val="24"/>
        </w:rPr>
        <w:t xml:space="preserve"> Disli</w:t>
      </w:r>
      <w:r w:rsidR="00D460B2">
        <w:rPr>
          <w:sz w:val="24"/>
        </w:rPr>
        <w:tab/>
      </w:r>
      <w:r>
        <w:rPr>
          <w:i/>
          <w:sz w:val="24"/>
        </w:rPr>
        <w:t>Prozessbevollmächtigten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erbeten!</w:t>
      </w:r>
    </w:p>
    <w:p w:rsidR="005D32B5" w:rsidRDefault="00A455FA" w:rsidP="00013017">
      <w:pPr>
        <w:tabs>
          <w:tab w:val="left" w:pos="6850"/>
        </w:tabs>
        <w:ind w:left="1036"/>
        <w:jc w:val="both"/>
        <w:rPr>
          <w:i/>
          <w:sz w:val="24"/>
        </w:rPr>
      </w:pPr>
      <w:r>
        <w:rPr>
          <w:sz w:val="24"/>
        </w:rPr>
        <w:t>Julius-</w:t>
      </w:r>
      <w:proofErr w:type="spellStart"/>
      <w:r>
        <w:rPr>
          <w:sz w:val="24"/>
        </w:rPr>
        <w:t>Mosen</w:t>
      </w:r>
      <w:proofErr w:type="spellEnd"/>
      <w:r>
        <w:rPr>
          <w:sz w:val="24"/>
        </w:rPr>
        <w:t>-Platz 4</w:t>
      </w:r>
      <w:r w:rsidR="00D460B2">
        <w:rPr>
          <w:sz w:val="24"/>
        </w:rPr>
        <w:tab/>
      </w:r>
    </w:p>
    <w:p w:rsidR="005D32B5" w:rsidRDefault="00A455FA" w:rsidP="00013017">
      <w:pPr>
        <w:ind w:left="1036"/>
        <w:jc w:val="both"/>
        <w:rPr>
          <w:sz w:val="24"/>
        </w:rPr>
      </w:pPr>
      <w:r>
        <w:rPr>
          <w:sz w:val="24"/>
        </w:rPr>
        <w:t>26122 Oldenburg</w:t>
      </w:r>
    </w:p>
    <w:p w:rsidR="005D32B5" w:rsidRDefault="005D32B5" w:rsidP="00013017">
      <w:pPr>
        <w:pStyle w:val="Textkrper"/>
        <w:ind w:left="0" w:firstLine="0"/>
        <w:jc w:val="both"/>
        <w:rPr>
          <w:sz w:val="26"/>
        </w:rPr>
      </w:pPr>
    </w:p>
    <w:p w:rsidR="005D32B5" w:rsidRDefault="00D460B2" w:rsidP="00013017">
      <w:pPr>
        <w:spacing w:before="150"/>
        <w:ind w:left="3587" w:right="3227"/>
        <w:jc w:val="both"/>
        <w:rPr>
          <w:b/>
          <w:sz w:val="28"/>
        </w:rPr>
      </w:pPr>
      <w:r>
        <w:rPr>
          <w:b/>
          <w:sz w:val="28"/>
        </w:rPr>
        <w:t>Vollmacht und Prozessvollmacht</w:t>
      </w:r>
    </w:p>
    <w:p w:rsidR="005D32B5" w:rsidRDefault="005D32B5" w:rsidP="00013017">
      <w:pPr>
        <w:pStyle w:val="Textkrper"/>
        <w:ind w:left="0" w:firstLine="0"/>
        <w:jc w:val="both"/>
        <w:rPr>
          <w:b/>
          <w:sz w:val="19"/>
        </w:rPr>
      </w:pPr>
    </w:p>
    <w:p w:rsidR="00D460B2" w:rsidRPr="00091E15" w:rsidRDefault="00D460B2" w:rsidP="00091E15">
      <w:pPr>
        <w:tabs>
          <w:tab w:val="left" w:pos="3686"/>
          <w:tab w:val="left" w:pos="9492"/>
        </w:tabs>
        <w:spacing w:before="91"/>
        <w:ind w:left="469"/>
        <w:jc w:val="both"/>
        <w:rPr>
          <w:sz w:val="20"/>
        </w:rPr>
      </w:pPr>
      <w:r w:rsidRPr="00D460B2">
        <w:rPr>
          <w:sz w:val="20"/>
        </w:rPr>
        <w:t>hiermit wird</w:t>
      </w:r>
      <w:r w:rsidRPr="00D460B2">
        <w:rPr>
          <w:spacing w:val="-1"/>
          <w:sz w:val="20"/>
        </w:rPr>
        <w:t xml:space="preserve"> </w:t>
      </w:r>
      <w:r w:rsidRPr="00D460B2">
        <w:rPr>
          <w:sz w:val="20"/>
        </w:rPr>
        <w:t>in</w:t>
      </w:r>
      <w:r w:rsidRPr="00D460B2">
        <w:rPr>
          <w:spacing w:val="-4"/>
          <w:sz w:val="20"/>
        </w:rPr>
        <w:t xml:space="preserve"> </w:t>
      </w:r>
      <w:r w:rsidRPr="00D460B2">
        <w:rPr>
          <w:sz w:val="20"/>
        </w:rPr>
        <w:t>Sachen</w:t>
      </w:r>
      <w:r>
        <w:rPr>
          <w:sz w:val="20"/>
        </w:rPr>
        <w:t xml:space="preserve">  </w:t>
      </w:r>
      <w:r w:rsidR="003B7F83">
        <w:rPr>
          <w:sz w:val="20"/>
        </w:rPr>
        <w:tab/>
      </w:r>
    </w:p>
    <w:p w:rsidR="005D32B5" w:rsidRDefault="005D32B5" w:rsidP="00013017">
      <w:pPr>
        <w:pStyle w:val="Textkrper"/>
        <w:ind w:left="0" w:firstLine="0"/>
        <w:jc w:val="both"/>
        <w:rPr>
          <w:sz w:val="18"/>
        </w:rPr>
      </w:pPr>
    </w:p>
    <w:p w:rsidR="00091E15" w:rsidRPr="00D460B2" w:rsidRDefault="00091E15" w:rsidP="00013017">
      <w:pPr>
        <w:pStyle w:val="Textkrper"/>
        <w:ind w:left="0" w:firstLine="0"/>
        <w:jc w:val="both"/>
        <w:rPr>
          <w:sz w:val="18"/>
        </w:rPr>
      </w:pPr>
    </w:p>
    <w:p w:rsidR="005D32B5" w:rsidRDefault="00D460B2" w:rsidP="00DB289E">
      <w:pPr>
        <w:tabs>
          <w:tab w:val="left" w:pos="3686"/>
          <w:tab w:val="left" w:pos="8081"/>
        </w:tabs>
        <w:spacing w:before="91"/>
        <w:ind w:left="469"/>
        <w:jc w:val="both"/>
        <w:rPr>
          <w:sz w:val="20"/>
        </w:rPr>
      </w:pPr>
      <w:r w:rsidRPr="00D460B2">
        <w:rPr>
          <w:sz w:val="20"/>
        </w:rPr>
        <w:t>wege</w:t>
      </w:r>
      <w:r w:rsidR="00134E9A">
        <w:rPr>
          <w:sz w:val="20"/>
        </w:rPr>
        <w:t>n</w:t>
      </w:r>
      <w:r w:rsidR="00134E9A">
        <w:rPr>
          <w:sz w:val="20"/>
        </w:rPr>
        <w:tab/>
      </w:r>
      <w:bookmarkStart w:id="0" w:name="_GoBack"/>
      <w:bookmarkEnd w:id="0"/>
    </w:p>
    <w:p w:rsidR="00DB289E" w:rsidRPr="00DB289E" w:rsidRDefault="00DB289E" w:rsidP="00DB289E">
      <w:pPr>
        <w:tabs>
          <w:tab w:val="left" w:pos="3686"/>
          <w:tab w:val="left" w:pos="8081"/>
        </w:tabs>
        <w:spacing w:before="91"/>
        <w:ind w:left="469"/>
        <w:jc w:val="both"/>
        <w:rPr>
          <w:sz w:val="20"/>
        </w:rPr>
      </w:pPr>
    </w:p>
    <w:p w:rsidR="005D32B5" w:rsidRDefault="00091E15" w:rsidP="00013017">
      <w:pPr>
        <w:pStyle w:val="Textkrper"/>
        <w:spacing w:before="91" w:line="276" w:lineRule="auto"/>
        <w:ind w:firstLine="0"/>
        <w:jc w:val="both"/>
      </w:pPr>
      <w:r>
        <w:t>s</w:t>
      </w:r>
      <w:r w:rsidR="00D460B2">
        <w:t>owohl Vollmacht zur außergerichtlichen Vertretung aller Art als auch Prozessvollmacht für alle Verfahren in allen Instanzen aller Gerichtszweige erteilt mit insbesondere folgenden Befugnissen: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202" w:line="276" w:lineRule="auto"/>
        <w:ind w:right="105"/>
        <w:jc w:val="both"/>
      </w:pPr>
      <w:r>
        <w:t>Außergerichtliche Geltendmachung von Ansprüchen gegen Schädiger, Fahrzeughalter und deren Versicherer, Abwicklung von Kaskoschäden. Außergerichtliche Abwehr für Tätigkeiten aller Art und</w:t>
      </w:r>
      <w:r>
        <w:rPr>
          <w:spacing w:val="-8"/>
        </w:rPr>
        <w:t xml:space="preserve"> </w:t>
      </w:r>
      <w:r>
        <w:t>Akteneinsicht.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  <w:tab w:val="left" w:pos="6175"/>
        </w:tabs>
        <w:spacing w:line="276" w:lineRule="auto"/>
        <w:ind w:right="106"/>
        <w:jc w:val="both"/>
      </w:pPr>
      <w:r>
        <w:t xml:space="preserve">Begründung    und    Aufhebung </w:t>
      </w:r>
      <w:r>
        <w:rPr>
          <w:spacing w:val="35"/>
        </w:rPr>
        <w:t xml:space="preserve"> </w:t>
      </w:r>
      <w:r>
        <w:t xml:space="preserve">von  </w:t>
      </w:r>
      <w:r>
        <w:rPr>
          <w:spacing w:val="31"/>
        </w:rPr>
        <w:t xml:space="preserve"> </w:t>
      </w:r>
      <w:r>
        <w:t>Vertragsverhältnissen,</w:t>
      </w:r>
      <w:r>
        <w:tab/>
        <w:t>Abgabe und Entgegennahme von einseitigen Willenserklärungen (z.B.</w:t>
      </w:r>
      <w:r>
        <w:rPr>
          <w:spacing w:val="-3"/>
        </w:rPr>
        <w:t xml:space="preserve"> </w:t>
      </w:r>
      <w:r>
        <w:t>Kündigungen).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jc w:val="both"/>
      </w:pPr>
      <w:r>
        <w:t>Entgegennahme und Bewirken von Zustellungen und sonstigen</w:t>
      </w:r>
      <w:r>
        <w:rPr>
          <w:spacing w:val="-2"/>
        </w:rPr>
        <w:t xml:space="preserve"> </w:t>
      </w:r>
      <w:r>
        <w:t>Mitteilungen.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37" w:line="276" w:lineRule="auto"/>
        <w:ind w:right="111"/>
        <w:jc w:val="both"/>
      </w:pPr>
      <w:r>
        <w:t>Entgegennahme von Geld, Wertsachen und Urkunden der vom Gegner, von der Justizkasse oder anderen Stellen zu erstattenden Kosten und zur Verfügung darüber ohne Beschränkung nach § 181</w:t>
      </w:r>
      <w:r>
        <w:rPr>
          <w:spacing w:val="-19"/>
        </w:rPr>
        <w:t xml:space="preserve"> </w:t>
      </w:r>
      <w:r>
        <w:t>BGB.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line="252" w:lineRule="exact"/>
        <w:jc w:val="both"/>
      </w:pPr>
      <w:r>
        <w:t>Vertretung im privaten und gesetzlichen</w:t>
      </w:r>
      <w:r>
        <w:rPr>
          <w:spacing w:val="-11"/>
        </w:rPr>
        <w:t xml:space="preserve"> </w:t>
      </w:r>
      <w:r>
        <w:t>Schlichtungsverfahren.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40"/>
        <w:jc w:val="both"/>
      </w:pPr>
      <w:r>
        <w:t>Prozessführung (u. a. nach §§ 81 ff</w:t>
      </w:r>
      <w:r>
        <w:rPr>
          <w:spacing w:val="-6"/>
        </w:rPr>
        <w:t xml:space="preserve"> </w:t>
      </w:r>
      <w:r>
        <w:t>ZPO).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37" w:line="276" w:lineRule="auto"/>
        <w:ind w:right="104"/>
        <w:jc w:val="both"/>
      </w:pPr>
      <w:r>
        <w:t>Vertretung und Verteidigung in Strafsachen und Bußgeldsachen (§§302, 374 StPO, 73, 74 OWiG) einschließlich der Vorverfahren sowie (für den Fall der Abwesenheit) Vertretung nach § 411 II StPO und mit ausdrücklicher Ermächtigung auch nach §§ 233 I, 234 StPO und Stellung von Straf- und anderen nach der Strafprozessordnung zulässigen</w:t>
      </w:r>
      <w:r>
        <w:rPr>
          <w:spacing w:val="-1"/>
        </w:rPr>
        <w:t xml:space="preserve"> </w:t>
      </w:r>
      <w:r>
        <w:t>Anträgen.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1" w:line="276" w:lineRule="auto"/>
        <w:ind w:right="113"/>
        <w:jc w:val="both"/>
      </w:pPr>
      <w:r>
        <w:t>Bei Anträgen nach dem Gesetz über die Entschädigung für Strafverfolgungsmaßnahmen gilt die Vollmacht auch für das</w:t>
      </w:r>
      <w:r>
        <w:rPr>
          <w:spacing w:val="-1"/>
        </w:rPr>
        <w:t xml:space="preserve"> </w:t>
      </w:r>
      <w:proofErr w:type="spellStart"/>
      <w:r>
        <w:t>Betragsverfahren</w:t>
      </w:r>
      <w:proofErr w:type="spellEnd"/>
      <w:r>
        <w:t>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line="252" w:lineRule="exact"/>
        <w:jc w:val="both"/>
      </w:pPr>
      <w:r>
        <w:t>Außergerichtliche und gerichtliche Vertretung vor Verwaltungs-, Sozial- und Finanzbehörden und</w:t>
      </w:r>
      <w:r>
        <w:rPr>
          <w:spacing w:val="-17"/>
        </w:rPr>
        <w:t xml:space="preserve"> </w:t>
      </w:r>
      <w:r>
        <w:t>-gerichten.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38" w:line="278" w:lineRule="auto"/>
        <w:ind w:right="101"/>
        <w:jc w:val="both"/>
      </w:pPr>
      <w:r>
        <w:t>Vertretung vor den Arbeitsgerichten. Der Hinweis auf § 12a ArbGG I S. 2 ist erfolgt, wonach eine Kostenerstattung im ersten Rechtszug ausgeschlossen</w:t>
      </w:r>
      <w:r>
        <w:rPr>
          <w:spacing w:val="-10"/>
        </w:rPr>
        <w:t xml:space="preserve"> </w:t>
      </w:r>
      <w:r>
        <w:t>ist.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line="276" w:lineRule="auto"/>
        <w:ind w:right="113"/>
        <w:jc w:val="both"/>
      </w:pPr>
      <w:r>
        <w:t>Beilegung des Rechtsstreits oder außergerichtlicher Verhandlungen durch Vergleich, sonstige Einigung, Verzicht oder Anerkenntnis.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line="252" w:lineRule="exact"/>
        <w:jc w:val="both"/>
      </w:pPr>
      <w:r>
        <w:t>Einlegung und Rücknahme von Rechtsmitteln und Rechtsbehelfen sowie Verzicht auf</w:t>
      </w:r>
      <w:r>
        <w:rPr>
          <w:spacing w:val="-10"/>
        </w:rPr>
        <w:t xml:space="preserve"> </w:t>
      </w:r>
      <w:r>
        <w:t>solche.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34" w:line="276" w:lineRule="auto"/>
        <w:ind w:right="113"/>
        <w:jc w:val="both"/>
      </w:pPr>
      <w:r>
        <w:t>Alle Neben- und Folgeverfahren, z. B. Arrest und einstweilige Verfügung, Kostenfestsetzung, Zwangsvollstreckung einschließlich der aus ihr erwachsenden besonderen Verfahren, Insolvenz, Zwangsversteigerung, Zwangsverwaltung und</w:t>
      </w:r>
      <w:r>
        <w:rPr>
          <w:spacing w:val="-4"/>
        </w:rPr>
        <w:t xml:space="preserve"> </w:t>
      </w:r>
      <w:r>
        <w:t>Hinterlegung.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1"/>
        <w:jc w:val="both"/>
      </w:pPr>
      <w:r>
        <w:t>Übertragung der Vollmacht ganz oder teilweise auf</w:t>
      </w:r>
      <w:r>
        <w:rPr>
          <w:spacing w:val="-11"/>
        </w:rPr>
        <w:t xml:space="preserve"> </w:t>
      </w:r>
      <w:r>
        <w:t>andere.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37" w:line="276" w:lineRule="auto"/>
        <w:ind w:right="102"/>
        <w:jc w:val="both"/>
      </w:pPr>
      <w:r>
        <w:t xml:space="preserve">Der Bevollmächtigte ist ermächtigt, die behandelnden Ärzte des Vollmachtgebers von deren </w:t>
      </w:r>
      <w:r>
        <w:rPr>
          <w:i/>
        </w:rPr>
        <w:t xml:space="preserve">Schweigepflicht </w:t>
      </w:r>
      <w:r>
        <w:t>zu entbinden.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before="2" w:line="276" w:lineRule="auto"/>
        <w:ind w:right="111"/>
        <w:jc w:val="both"/>
      </w:pPr>
      <w:r>
        <w:t>Die Beauftragung erfolgt unabhängig von der Kostenzusage einer eventuell bestehenden Rechtschutzversicherung, die Gebührenansprüche gegen Gegner oder Dritte werden an den Anwalt</w:t>
      </w:r>
      <w:r>
        <w:rPr>
          <w:spacing w:val="1"/>
        </w:rPr>
        <w:t xml:space="preserve"> </w:t>
      </w:r>
      <w:r>
        <w:t>abgetreten.</w:t>
      </w:r>
    </w:p>
    <w:p w:rsidR="005D32B5" w:rsidRDefault="00D460B2" w:rsidP="00013017">
      <w:pPr>
        <w:pStyle w:val="Listenabsatz"/>
        <w:numPr>
          <w:ilvl w:val="0"/>
          <w:numId w:val="1"/>
        </w:numPr>
        <w:tabs>
          <w:tab w:val="left" w:pos="470"/>
        </w:tabs>
        <w:spacing w:line="252" w:lineRule="exact"/>
        <w:jc w:val="both"/>
      </w:pPr>
      <w:r>
        <w:t>In Zivilsachen werden die Anwaltsgebühren nach dem Streitwert</w:t>
      </w:r>
      <w:r>
        <w:rPr>
          <w:spacing w:val="-12"/>
        </w:rPr>
        <w:t xml:space="preserve"> </w:t>
      </w:r>
      <w:r>
        <w:t>berechnet.</w:t>
      </w:r>
    </w:p>
    <w:p w:rsidR="00083A46" w:rsidRDefault="00083A46">
      <w:pPr>
        <w:pStyle w:val="Textkrper"/>
        <w:ind w:left="0" w:firstLine="0"/>
        <w:rPr>
          <w:sz w:val="20"/>
        </w:rPr>
      </w:pPr>
    </w:p>
    <w:p w:rsidR="0044281A" w:rsidRDefault="0044281A">
      <w:pPr>
        <w:pStyle w:val="Textkrper"/>
        <w:ind w:left="0" w:firstLine="0"/>
        <w:rPr>
          <w:sz w:val="20"/>
        </w:rPr>
      </w:pPr>
    </w:p>
    <w:p w:rsidR="0044281A" w:rsidRDefault="0044281A">
      <w:pPr>
        <w:pStyle w:val="Textkrper"/>
        <w:ind w:left="0" w:firstLine="0"/>
        <w:rPr>
          <w:sz w:val="20"/>
        </w:rPr>
      </w:pPr>
    </w:p>
    <w:p w:rsidR="00083A46" w:rsidRDefault="00083A46">
      <w:pPr>
        <w:pStyle w:val="Textkrper"/>
        <w:ind w:left="0" w:firstLine="0"/>
        <w:rPr>
          <w:sz w:val="20"/>
        </w:rPr>
      </w:pPr>
    </w:p>
    <w:p w:rsidR="00091E15" w:rsidRDefault="00091E15">
      <w:pPr>
        <w:pStyle w:val="Textkrper"/>
        <w:ind w:left="0" w:firstLine="0"/>
        <w:rPr>
          <w:sz w:val="20"/>
        </w:rPr>
      </w:pPr>
    </w:p>
    <w:p w:rsidR="005D32B5" w:rsidRDefault="00671C52" w:rsidP="00083A46">
      <w:pPr>
        <w:pStyle w:val="Textkrper"/>
        <w:tabs>
          <w:tab w:val="left" w:pos="567"/>
          <w:tab w:val="left" w:pos="6237"/>
          <w:tab w:val="left" w:pos="7088"/>
        </w:tabs>
        <w:ind w:left="567" w:firstLine="0"/>
        <w:rPr>
          <w:sz w:val="20"/>
        </w:rPr>
      </w:pPr>
      <w:r w:rsidRPr="00671C52">
        <w:rPr>
          <w:noProof/>
        </w:rPr>
        <w:pict>
          <v:line id="Line 3" o:spid="_x0000_s1026" style="position:absolute;left:0;text-align:left;z-index:-251659264;visibility:visible;mso-wrap-distance-left:0;mso-wrap-distance-right:0;mso-position-horizontal-relative:page" from="49pt,10.25pt" to="163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6u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" strokeweight=".14056mm">
            <w10:wrap type="topAndBottom" anchorx="page"/>
          </v:line>
        </w:pict>
      </w:r>
      <w:r w:rsidRPr="00671C52">
        <w:rPr>
          <w:noProof/>
        </w:rPr>
        <w:pict>
          <v:line id="Line 2" o:spid="_x0000_s1027" style="position:absolute;left:0;text-align:left;z-index:-251658240;visibility:visible;mso-wrap-distance-left:0;mso-wrap-distance-right:0;mso-position-horizontal-relative:page" from="375.85pt,10.25pt" to="515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taEwIAACg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" strokeweight=".14056mm">
            <w10:wrap type="topAndBottom" anchorx="page"/>
          </v:line>
        </w:pict>
      </w:r>
      <w:r w:rsidR="00083A46">
        <w:rPr>
          <w:sz w:val="20"/>
        </w:rPr>
        <w:t>(Ort</w:t>
      </w:r>
      <w:r w:rsidR="00013017">
        <w:rPr>
          <w:sz w:val="20"/>
        </w:rPr>
        <w:t>, Datum)</w:t>
      </w:r>
      <w:r w:rsidR="00013017">
        <w:rPr>
          <w:sz w:val="20"/>
        </w:rPr>
        <w:tab/>
      </w:r>
      <w:r w:rsidR="00013017">
        <w:rPr>
          <w:sz w:val="20"/>
        </w:rPr>
        <w:tab/>
        <w:t xml:space="preserve"> </w:t>
      </w:r>
      <w:r w:rsidR="007F7EE1">
        <w:rPr>
          <w:sz w:val="20"/>
        </w:rPr>
        <w:t xml:space="preserve">(Unterschrift </w:t>
      </w:r>
      <w:r w:rsidR="00083A46">
        <w:rPr>
          <w:sz w:val="20"/>
        </w:rPr>
        <w:t>)</w:t>
      </w:r>
    </w:p>
    <w:p w:rsidR="00083A46" w:rsidRDefault="00083A46" w:rsidP="00083A46">
      <w:pPr>
        <w:tabs>
          <w:tab w:val="left" w:pos="6701"/>
        </w:tabs>
        <w:spacing w:before="7"/>
        <w:rPr>
          <w:sz w:val="20"/>
        </w:rPr>
      </w:pPr>
    </w:p>
    <w:p w:rsidR="00083A46" w:rsidRDefault="00083A46" w:rsidP="00083A46">
      <w:pPr>
        <w:tabs>
          <w:tab w:val="left" w:pos="6701"/>
        </w:tabs>
        <w:spacing w:before="7"/>
        <w:rPr>
          <w:sz w:val="20"/>
        </w:rPr>
      </w:pPr>
    </w:p>
    <w:sectPr w:rsidR="00083A46" w:rsidSect="005D32B5">
      <w:type w:val="continuous"/>
      <w:pgSz w:w="11910" w:h="16840"/>
      <w:pgMar w:top="620" w:right="7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2749"/>
    <w:multiLevelType w:val="hybridMultilevel"/>
    <w:tmpl w:val="5EB849FA"/>
    <w:lvl w:ilvl="0" w:tplc="6A84C66C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de-DE" w:bidi="de-DE"/>
      </w:rPr>
    </w:lvl>
    <w:lvl w:ilvl="1" w:tplc="99E67180">
      <w:numFmt w:val="bullet"/>
      <w:lvlText w:val="•"/>
      <w:lvlJc w:val="left"/>
      <w:pPr>
        <w:ind w:left="1492" w:hanging="360"/>
      </w:pPr>
      <w:rPr>
        <w:rFonts w:hint="default"/>
        <w:lang w:val="de-DE" w:eastAsia="de-DE" w:bidi="de-DE"/>
      </w:rPr>
    </w:lvl>
    <w:lvl w:ilvl="2" w:tplc="C778C882">
      <w:numFmt w:val="bullet"/>
      <w:lvlText w:val="•"/>
      <w:lvlJc w:val="left"/>
      <w:pPr>
        <w:ind w:left="2525" w:hanging="360"/>
      </w:pPr>
      <w:rPr>
        <w:rFonts w:hint="default"/>
        <w:lang w:val="de-DE" w:eastAsia="de-DE" w:bidi="de-DE"/>
      </w:rPr>
    </w:lvl>
    <w:lvl w:ilvl="3" w:tplc="A57E52FA">
      <w:numFmt w:val="bullet"/>
      <w:lvlText w:val="•"/>
      <w:lvlJc w:val="left"/>
      <w:pPr>
        <w:ind w:left="3557" w:hanging="360"/>
      </w:pPr>
      <w:rPr>
        <w:rFonts w:hint="default"/>
        <w:lang w:val="de-DE" w:eastAsia="de-DE" w:bidi="de-DE"/>
      </w:rPr>
    </w:lvl>
    <w:lvl w:ilvl="4" w:tplc="9ACA9CB0">
      <w:numFmt w:val="bullet"/>
      <w:lvlText w:val="•"/>
      <w:lvlJc w:val="left"/>
      <w:pPr>
        <w:ind w:left="4590" w:hanging="360"/>
      </w:pPr>
      <w:rPr>
        <w:rFonts w:hint="default"/>
        <w:lang w:val="de-DE" w:eastAsia="de-DE" w:bidi="de-DE"/>
      </w:rPr>
    </w:lvl>
    <w:lvl w:ilvl="5" w:tplc="B59A6526">
      <w:numFmt w:val="bullet"/>
      <w:lvlText w:val="•"/>
      <w:lvlJc w:val="left"/>
      <w:pPr>
        <w:ind w:left="5623" w:hanging="360"/>
      </w:pPr>
      <w:rPr>
        <w:rFonts w:hint="default"/>
        <w:lang w:val="de-DE" w:eastAsia="de-DE" w:bidi="de-DE"/>
      </w:rPr>
    </w:lvl>
    <w:lvl w:ilvl="6" w:tplc="B89A8B34">
      <w:numFmt w:val="bullet"/>
      <w:lvlText w:val="•"/>
      <w:lvlJc w:val="left"/>
      <w:pPr>
        <w:ind w:left="6655" w:hanging="360"/>
      </w:pPr>
      <w:rPr>
        <w:rFonts w:hint="default"/>
        <w:lang w:val="de-DE" w:eastAsia="de-DE" w:bidi="de-DE"/>
      </w:rPr>
    </w:lvl>
    <w:lvl w:ilvl="7" w:tplc="EA2E8C36">
      <w:numFmt w:val="bullet"/>
      <w:lvlText w:val="•"/>
      <w:lvlJc w:val="left"/>
      <w:pPr>
        <w:ind w:left="7688" w:hanging="360"/>
      </w:pPr>
      <w:rPr>
        <w:rFonts w:hint="default"/>
        <w:lang w:val="de-DE" w:eastAsia="de-DE" w:bidi="de-DE"/>
      </w:rPr>
    </w:lvl>
    <w:lvl w:ilvl="8" w:tplc="59F0A3BA">
      <w:numFmt w:val="bullet"/>
      <w:lvlText w:val="•"/>
      <w:lvlJc w:val="left"/>
      <w:pPr>
        <w:ind w:left="8721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32B5"/>
    <w:rsid w:val="00013017"/>
    <w:rsid w:val="00021D30"/>
    <w:rsid w:val="00060535"/>
    <w:rsid w:val="00083A46"/>
    <w:rsid w:val="00091E15"/>
    <w:rsid w:val="00134E9A"/>
    <w:rsid w:val="00152D0B"/>
    <w:rsid w:val="00195439"/>
    <w:rsid w:val="00245555"/>
    <w:rsid w:val="00300951"/>
    <w:rsid w:val="003846A0"/>
    <w:rsid w:val="003B3DCE"/>
    <w:rsid w:val="003B7F83"/>
    <w:rsid w:val="0044281A"/>
    <w:rsid w:val="00442D32"/>
    <w:rsid w:val="004B3743"/>
    <w:rsid w:val="004E427E"/>
    <w:rsid w:val="005A6CA6"/>
    <w:rsid w:val="005D32B5"/>
    <w:rsid w:val="00653B75"/>
    <w:rsid w:val="00671C52"/>
    <w:rsid w:val="006E30E8"/>
    <w:rsid w:val="006F038F"/>
    <w:rsid w:val="00736D7C"/>
    <w:rsid w:val="007739C8"/>
    <w:rsid w:val="007F1CF0"/>
    <w:rsid w:val="007F7EE1"/>
    <w:rsid w:val="00815049"/>
    <w:rsid w:val="0088155E"/>
    <w:rsid w:val="00882359"/>
    <w:rsid w:val="008A7B75"/>
    <w:rsid w:val="008E5487"/>
    <w:rsid w:val="00900CC5"/>
    <w:rsid w:val="009130C7"/>
    <w:rsid w:val="009502FB"/>
    <w:rsid w:val="009B3656"/>
    <w:rsid w:val="009E0DF5"/>
    <w:rsid w:val="009E3D16"/>
    <w:rsid w:val="00A455FA"/>
    <w:rsid w:val="00AC5315"/>
    <w:rsid w:val="00B06920"/>
    <w:rsid w:val="00B50B31"/>
    <w:rsid w:val="00B90284"/>
    <w:rsid w:val="00BB06B6"/>
    <w:rsid w:val="00CA1ACB"/>
    <w:rsid w:val="00CF43BB"/>
    <w:rsid w:val="00D44B2B"/>
    <w:rsid w:val="00D460B2"/>
    <w:rsid w:val="00D524C1"/>
    <w:rsid w:val="00D645F9"/>
    <w:rsid w:val="00DB289E"/>
    <w:rsid w:val="00E25D16"/>
    <w:rsid w:val="00E84C91"/>
    <w:rsid w:val="00FA4F6B"/>
    <w:rsid w:val="00FB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5D32B5"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3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5D32B5"/>
    <w:pPr>
      <w:ind w:left="469" w:hanging="360"/>
    </w:pPr>
  </w:style>
  <w:style w:type="paragraph" w:styleId="Listenabsatz">
    <w:name w:val="List Paragraph"/>
    <w:basedOn w:val="Standard"/>
    <w:uiPriority w:val="1"/>
    <w:qFormat/>
    <w:rsid w:val="005D32B5"/>
    <w:pPr>
      <w:ind w:left="469" w:hanging="360"/>
    </w:pPr>
  </w:style>
  <w:style w:type="paragraph" w:customStyle="1" w:styleId="TableParagraph">
    <w:name w:val="Table Paragraph"/>
    <w:basedOn w:val="Standard"/>
    <w:uiPriority w:val="1"/>
    <w:qFormat/>
    <w:rsid w:val="005D32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Anmeldung</dc:creator>
  <cp:lastModifiedBy>Windows-Benutzer</cp:lastModifiedBy>
  <cp:revision>2</cp:revision>
  <cp:lastPrinted>2021-08-09T08:17:00Z</cp:lastPrinted>
  <dcterms:created xsi:type="dcterms:W3CDTF">2022-03-10T09:36:00Z</dcterms:created>
  <dcterms:modified xsi:type="dcterms:W3CDTF">2022-03-10T09:36:00Z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2019-02-11T00:00:00Z</vt:filetime>
  </property>
  <property fmtid="{D5CDD505-2E9C-101B-9397-08002B2CF9AE}" pid="5" name="_DocHome">
    <vt:i4>-1995828657</vt:i4>
  </property>
</Properties>
</file>